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35E76" w14:textId="77777777" w:rsidR="00043192" w:rsidRPr="00043192" w:rsidRDefault="00043192" w:rsidP="00043192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043192">
        <w:rPr>
          <w:rFonts w:ascii="Times New Roman" w:hAnsi="Times New Roman" w:cs="Times New Roman"/>
          <w:kern w:val="0"/>
          <w:sz w:val="28"/>
          <w:szCs w:val="28"/>
          <w14:ligatures w14:val="none"/>
        </w:rPr>
        <w:t>ROMÂNIA</w:t>
      </w:r>
    </w:p>
    <w:p w14:paraId="371BB467" w14:textId="77777777" w:rsidR="00043192" w:rsidRPr="00043192" w:rsidRDefault="00043192" w:rsidP="00043192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043192">
        <w:rPr>
          <w:rFonts w:ascii="Times New Roman" w:hAnsi="Times New Roman" w:cs="Times New Roman"/>
          <w:kern w:val="0"/>
          <w:sz w:val="28"/>
          <w:szCs w:val="28"/>
          <w14:ligatures w14:val="none"/>
        </w:rPr>
        <w:t>JUDEȚUL CLUJ</w:t>
      </w:r>
    </w:p>
    <w:p w14:paraId="3CE49D99" w14:textId="77777777" w:rsidR="00043192" w:rsidRPr="00043192" w:rsidRDefault="00043192" w:rsidP="00043192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043192">
        <w:rPr>
          <w:rFonts w:ascii="Times New Roman" w:hAnsi="Times New Roman" w:cs="Times New Roman"/>
          <w:kern w:val="0"/>
          <w:sz w:val="28"/>
          <w:szCs w:val="28"/>
          <w14:ligatures w14:val="none"/>
        </w:rPr>
        <w:t>COMUNA VALEA IERII</w:t>
      </w:r>
    </w:p>
    <w:p w14:paraId="297EC9AE" w14:textId="77777777" w:rsidR="00043192" w:rsidRPr="00043192" w:rsidRDefault="00043192" w:rsidP="00043192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043192">
        <w:rPr>
          <w:rFonts w:ascii="Times New Roman" w:hAnsi="Times New Roman" w:cs="Times New Roman"/>
          <w:kern w:val="0"/>
          <w:sz w:val="28"/>
          <w:szCs w:val="28"/>
          <w14:ligatures w14:val="none"/>
        </w:rPr>
        <w:t>CONSILIUL LOCAL</w:t>
      </w:r>
    </w:p>
    <w:p w14:paraId="000BDC8D" w14:textId="77777777" w:rsidR="00043192" w:rsidRPr="00043192" w:rsidRDefault="00043192" w:rsidP="00043192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6218B382" w14:textId="0F71E676" w:rsidR="00043192" w:rsidRPr="00043192" w:rsidRDefault="00043192" w:rsidP="00043192">
      <w:pPr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043192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H O T Ă R Â R E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</w:t>
      </w:r>
    </w:p>
    <w:p w14:paraId="68AB7B76" w14:textId="01EA2AA0" w:rsidR="00043192" w:rsidRPr="00043192" w:rsidRDefault="00043192" w:rsidP="00043192">
      <w:pPr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15AC414D" w14:textId="77777777" w:rsidR="00043192" w:rsidRPr="00043192" w:rsidRDefault="00043192" w:rsidP="00043192">
      <w:pPr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043192">
        <w:rPr>
          <w:rFonts w:ascii="Times New Roman" w:hAnsi="Times New Roman" w:cs="Times New Roman"/>
          <w:kern w:val="0"/>
          <w:sz w:val="28"/>
          <w:szCs w:val="28"/>
          <w14:ligatures w14:val="none"/>
        </w:rPr>
        <w:t>privind aprobarea bugetului de venituri și cheltuieli pe anul 2024 și a listei de investiții</w:t>
      </w:r>
    </w:p>
    <w:p w14:paraId="0C51DBE0" w14:textId="77777777" w:rsidR="00043192" w:rsidRPr="00043192" w:rsidRDefault="00043192" w:rsidP="00043192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3B6CDCFE" w14:textId="322F4F43" w:rsidR="00043192" w:rsidRPr="00043192" w:rsidRDefault="00043192" w:rsidP="00A04B62">
      <w:pPr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043192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      Consiliul Local al comunei Valea Ierii întrunit în ședința ordinară  din data de 31</w:t>
      </w:r>
      <w:r w:rsidR="00E2275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ianuarie </w:t>
      </w:r>
      <w:r w:rsidRPr="00043192">
        <w:rPr>
          <w:rFonts w:ascii="Times New Roman" w:hAnsi="Times New Roman" w:cs="Times New Roman"/>
          <w:kern w:val="0"/>
          <w:sz w:val="28"/>
          <w:szCs w:val="28"/>
          <w14:ligatures w14:val="none"/>
        </w:rPr>
        <w:t>2024,</w:t>
      </w:r>
    </w:p>
    <w:p w14:paraId="5A66D417" w14:textId="17D35928" w:rsidR="00043192" w:rsidRPr="00043192" w:rsidRDefault="00043192" w:rsidP="00A04B62">
      <w:pPr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043192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      Având în vedere referatul nr. 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684</w:t>
      </w:r>
      <w:r w:rsidRPr="00043192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din 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25.01.</w:t>
      </w:r>
      <w:r w:rsidRPr="00043192">
        <w:rPr>
          <w:rFonts w:ascii="Times New Roman" w:hAnsi="Times New Roman" w:cs="Times New Roman"/>
          <w:kern w:val="0"/>
          <w:sz w:val="28"/>
          <w:szCs w:val="28"/>
          <w14:ligatures w14:val="none"/>
        </w:rPr>
        <w:t>2024 la proiectul de hotărâre privind aprobarea bugetului local al comunei Valea Ierii pe anul 2024,  prezentat de către Primarul comunei Valea Ierii precum și raportul compartimentului financiar- contabil înregistrat sub nr.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685</w:t>
      </w:r>
      <w:r w:rsidRPr="00043192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din 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25.01.</w:t>
      </w:r>
      <w:r w:rsidRPr="00043192">
        <w:rPr>
          <w:rFonts w:ascii="Times New Roman" w:hAnsi="Times New Roman" w:cs="Times New Roman"/>
          <w:kern w:val="0"/>
          <w:sz w:val="28"/>
          <w:szCs w:val="28"/>
          <w14:ligatures w14:val="none"/>
        </w:rPr>
        <w:t>2024 ;</w:t>
      </w:r>
    </w:p>
    <w:p w14:paraId="35E34BB3" w14:textId="77777777" w:rsidR="00043192" w:rsidRPr="00043192" w:rsidRDefault="00043192" w:rsidP="00A04B62">
      <w:pPr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043192">
        <w:rPr>
          <w:rFonts w:ascii="Times New Roman" w:hAnsi="Times New Roman" w:cs="Times New Roman"/>
          <w:kern w:val="0"/>
          <w:sz w:val="28"/>
          <w:szCs w:val="28"/>
          <w14:ligatures w14:val="none"/>
        </w:rPr>
        <w:t>- avizele comisiilor de specialitate din cadrul consiliului local;</w:t>
      </w:r>
    </w:p>
    <w:p w14:paraId="6BDBE798" w14:textId="77777777" w:rsidR="00043192" w:rsidRPr="00043192" w:rsidRDefault="00043192" w:rsidP="00A04B62">
      <w:pPr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043192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   Ținând cont de:</w:t>
      </w:r>
    </w:p>
    <w:p w14:paraId="6E509CB0" w14:textId="0A5231CF" w:rsidR="00043192" w:rsidRPr="00043192" w:rsidRDefault="00043192" w:rsidP="00A04B62">
      <w:pPr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043192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- Hotărârea Consiliului Județean Cluj 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nr.2/11.01.2024 </w:t>
      </w:r>
      <w:r w:rsidRPr="00043192">
        <w:rPr>
          <w:rFonts w:ascii="Times New Roman" w:hAnsi="Times New Roman" w:cs="Times New Roman"/>
          <w:kern w:val="0"/>
          <w:sz w:val="28"/>
          <w:szCs w:val="28"/>
          <w14:ligatures w14:val="none"/>
        </w:rPr>
        <w:t>privind repartizarea pe unități administrativ-teritoriale a sumei corespunzătoare cotelor defalcate din impozitul pe venit pe anul 2024;</w:t>
      </w:r>
    </w:p>
    <w:p w14:paraId="2598107D" w14:textId="377D7B73" w:rsidR="00043192" w:rsidRPr="00043192" w:rsidRDefault="00043192" w:rsidP="00A04B62">
      <w:pPr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043192">
        <w:rPr>
          <w:rFonts w:ascii="Times New Roman" w:hAnsi="Times New Roman" w:cs="Times New Roman"/>
          <w:kern w:val="0"/>
          <w:sz w:val="28"/>
          <w:szCs w:val="28"/>
          <w14:ligatures w14:val="none"/>
        </w:rPr>
        <w:t>- Adresele D.G.R.F.P.Cluj nr.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158/8.01.2024, nr.177/09.01.2024, nr.203/10.01.2024, nr.427/19.01.2024;</w:t>
      </w:r>
    </w:p>
    <w:p w14:paraId="55BD4B53" w14:textId="77777777" w:rsidR="00043192" w:rsidRPr="00043192" w:rsidRDefault="00043192" w:rsidP="00A04B62">
      <w:pPr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043192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- prevederile Legii nr. 421/ 2023 a bugetului de stat pe anul 2024, Legea 273/2006 a Finanţelor publice locale, cu modificările și completările ulterioare; </w:t>
      </w:r>
    </w:p>
    <w:p w14:paraId="59FF86AB" w14:textId="77777777" w:rsidR="00043192" w:rsidRPr="00043192" w:rsidRDefault="00043192" w:rsidP="00A04B6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it-IT"/>
          <w14:ligatures w14:val="none"/>
        </w:rPr>
      </w:pPr>
      <w:r w:rsidRPr="0004319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-art. 129 alin. (2) lit. b) și alin. (4) lit. a) din Ordonanța de urgență a Guvernului nr.57/2019 privind Codul administrativ</w:t>
      </w:r>
      <w:r w:rsidRPr="00043192">
        <w:rPr>
          <w:rFonts w:ascii="Times New Roman" w:eastAsia="Times New Roman" w:hAnsi="Times New Roman" w:cs="Times New Roman"/>
          <w:kern w:val="0"/>
          <w:sz w:val="28"/>
          <w:szCs w:val="28"/>
          <w:lang w:val="it-IT"/>
          <w14:ligatures w14:val="none"/>
        </w:rPr>
        <w:t xml:space="preserve">, </w:t>
      </w:r>
      <w:bookmarkStart w:id="0" w:name="_Hlk66869310"/>
      <w:r w:rsidRPr="00043192">
        <w:rPr>
          <w:rFonts w:ascii="Times New Roman" w:eastAsia="Times New Roman" w:hAnsi="Times New Roman" w:cs="Times New Roman"/>
          <w:kern w:val="0"/>
          <w:sz w:val="28"/>
          <w:szCs w:val="28"/>
          <w:lang w:val="it-IT"/>
          <w14:ligatures w14:val="none"/>
        </w:rPr>
        <w:t>cu modificările și completările ulterioare,</w:t>
      </w:r>
      <w:bookmarkEnd w:id="0"/>
    </w:p>
    <w:p w14:paraId="3ADE2DF4" w14:textId="77777777" w:rsidR="00043192" w:rsidRPr="00043192" w:rsidRDefault="00043192" w:rsidP="00A04B62">
      <w:pPr>
        <w:spacing w:after="0" w:line="240" w:lineRule="auto"/>
        <w:ind w:right="-21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4319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Fiind îndeplinite prevederile art. 136 și art. 139 din Ordonanța de urgență a Guvernului nr.57/2019 privind Codul administrativ,</w:t>
      </w:r>
      <w:r w:rsidRPr="00043192">
        <w:rPr>
          <w:kern w:val="0"/>
          <w:sz w:val="28"/>
          <w:szCs w:val="28"/>
          <w:lang w:val="it-IT"/>
          <w14:ligatures w14:val="none"/>
        </w:rPr>
        <w:t xml:space="preserve"> </w:t>
      </w:r>
      <w:r w:rsidRPr="00043192">
        <w:rPr>
          <w:rFonts w:ascii="Times New Roman" w:hAnsi="Times New Roman" w:cs="Times New Roman"/>
          <w:kern w:val="0"/>
          <w:sz w:val="28"/>
          <w:szCs w:val="28"/>
          <w:lang w:val="it-IT"/>
          <w14:ligatures w14:val="none"/>
        </w:rPr>
        <w:t>cu modificările și completările ulterioare,</w:t>
      </w:r>
    </w:p>
    <w:p w14:paraId="7895CFB1" w14:textId="77777777" w:rsidR="00043192" w:rsidRPr="00043192" w:rsidRDefault="00043192" w:rsidP="00A04B62">
      <w:pPr>
        <w:spacing w:after="0" w:line="240" w:lineRule="auto"/>
        <w:ind w:right="-21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4319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În temeiul art. 196 alin. (1) lit. a) din  Ordonanța de urgență a Guvernului nr.57/2019 privind Codul administrativ,</w:t>
      </w:r>
      <w:r w:rsidRPr="00043192">
        <w:rPr>
          <w:kern w:val="0"/>
          <w:sz w:val="28"/>
          <w:szCs w:val="28"/>
          <w:lang w:val="it-IT"/>
          <w14:ligatures w14:val="none"/>
        </w:rPr>
        <w:t xml:space="preserve"> </w:t>
      </w:r>
      <w:r w:rsidRPr="00043192">
        <w:rPr>
          <w:rFonts w:ascii="Times New Roman" w:hAnsi="Times New Roman" w:cs="Times New Roman"/>
          <w:kern w:val="0"/>
          <w:sz w:val="28"/>
          <w:szCs w:val="28"/>
          <w:lang w:val="it-IT"/>
          <w14:ligatures w14:val="none"/>
        </w:rPr>
        <w:t>cu modificările și completările ulterioare,</w:t>
      </w:r>
    </w:p>
    <w:p w14:paraId="264DA247" w14:textId="77777777" w:rsidR="00043192" w:rsidRPr="00043192" w:rsidRDefault="00043192" w:rsidP="0004319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it-IT"/>
          <w14:ligatures w14:val="none"/>
        </w:rPr>
      </w:pPr>
    </w:p>
    <w:p w14:paraId="0B5743B4" w14:textId="77777777" w:rsidR="00043192" w:rsidRPr="00043192" w:rsidRDefault="00043192" w:rsidP="00043192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2DCD15ED" w14:textId="3B556848" w:rsidR="00043192" w:rsidRPr="00043192" w:rsidRDefault="00043192" w:rsidP="00043192">
      <w:pPr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Consiliul Local al comunei Valea Ierii adoptă prezenta hotărâre:</w:t>
      </w:r>
    </w:p>
    <w:p w14:paraId="2FCEEE27" w14:textId="77777777" w:rsidR="00043192" w:rsidRPr="00043192" w:rsidRDefault="00043192" w:rsidP="00043192">
      <w:pPr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30932BD4" w14:textId="3B2CE82F" w:rsidR="00043192" w:rsidRPr="00043192" w:rsidRDefault="00043192" w:rsidP="00A04B62">
      <w:pPr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043192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     Art.1.  Se aprobă bugetul de venituri și cheltuieli al comunei Valea Ierii pentru anul 2024  </w:t>
      </w:r>
      <w:r w:rsidRPr="00043192">
        <w:rPr>
          <w:kern w:val="0"/>
          <w:sz w:val="28"/>
          <w:szCs w:val="28"/>
          <w14:ligatures w14:val="none"/>
        </w:rPr>
        <w:t xml:space="preserve"> </w:t>
      </w:r>
      <w:r w:rsidRPr="00043192">
        <w:rPr>
          <w:rFonts w:ascii="Times New Roman" w:hAnsi="Times New Roman" w:cs="Times New Roman"/>
          <w:kern w:val="0"/>
          <w:sz w:val="28"/>
          <w:szCs w:val="28"/>
          <w14:ligatures w14:val="none"/>
        </w:rPr>
        <w:t>conform anexelor care fac parte integrantă din prezenta hotărâre.</w:t>
      </w:r>
    </w:p>
    <w:p w14:paraId="19053FCE" w14:textId="43710D30" w:rsidR="00043192" w:rsidRPr="00043192" w:rsidRDefault="00043192" w:rsidP="00A04B62">
      <w:pPr>
        <w:spacing w:after="0" w:line="240" w:lineRule="auto"/>
        <w:ind w:left="72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043192">
        <w:rPr>
          <w:rFonts w:ascii="Times New Roman" w:hAnsi="Times New Roman" w:cs="Times New Roman"/>
          <w:kern w:val="0"/>
          <w:sz w:val="28"/>
          <w:szCs w:val="28"/>
          <w14:ligatures w14:val="none"/>
        </w:rPr>
        <w:lastRenderedPageBreak/>
        <w:t xml:space="preserve">       Art.2.  Se aprobă </w:t>
      </w:r>
      <w:r w:rsidRPr="00043192"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numărul de personal precum şi fondul salariilor de bază al aparatului de specialitate al primarului comunei Valea Ierii, conform Anexei </w:t>
      </w:r>
      <w:r w:rsidR="0095150F"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>1</w:t>
      </w:r>
      <w:r w:rsidRPr="00043192"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la prezenta hotărâre.</w:t>
      </w:r>
    </w:p>
    <w:p w14:paraId="796D88DD" w14:textId="46F273E7" w:rsidR="00043192" w:rsidRPr="00043192" w:rsidRDefault="00043192" w:rsidP="00A04B62">
      <w:pPr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043192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  Art.3. Se aprobă </w:t>
      </w:r>
      <w:bookmarkStart w:id="1" w:name="_Hlk95333329"/>
      <w:r w:rsidRPr="00043192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bugetul de venituri și cheltuieli al Școlii Gimnaziale Valea Ierii   pentru anul 2023  </w:t>
      </w:r>
      <w:r w:rsidRPr="00043192">
        <w:rPr>
          <w:kern w:val="0"/>
          <w:sz w:val="28"/>
          <w:szCs w:val="28"/>
          <w14:ligatures w14:val="none"/>
        </w:rPr>
        <w:t xml:space="preserve"> </w:t>
      </w:r>
      <w:bookmarkEnd w:id="1"/>
      <w:r w:rsidRPr="00043192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conform Anexei </w:t>
      </w:r>
      <w:r w:rsidR="0095150F">
        <w:rPr>
          <w:rFonts w:ascii="Times New Roman" w:hAnsi="Times New Roman" w:cs="Times New Roman"/>
          <w:kern w:val="0"/>
          <w:sz w:val="28"/>
          <w:szCs w:val="28"/>
          <w14:ligatures w14:val="none"/>
        </w:rPr>
        <w:t>2</w:t>
      </w:r>
      <w:r w:rsidRPr="00043192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la prezenta hotărâre.</w:t>
      </w:r>
    </w:p>
    <w:p w14:paraId="7A288DFA" w14:textId="51C63977" w:rsidR="00043192" w:rsidRDefault="00043192" w:rsidP="00A04B62">
      <w:pPr>
        <w:spacing w:after="0" w:line="240" w:lineRule="auto"/>
        <w:jc w:val="both"/>
        <w:rPr>
          <w:rFonts w:ascii="Times New Roman" w:hAnsi="Times New Roman" w:cs="Times New Roman"/>
          <w:bCs/>
          <w:kern w:val="0"/>
          <w:sz w:val="28"/>
          <w:szCs w:val="28"/>
          <w14:ligatures w14:val="none"/>
        </w:rPr>
      </w:pPr>
      <w:r w:rsidRPr="00043192">
        <w:rPr>
          <w:rFonts w:ascii="Times New Roman" w:hAnsi="Times New Roman"/>
          <w:kern w:val="0"/>
          <w:sz w:val="28"/>
          <w:szCs w:val="28"/>
          <w14:ligatures w14:val="none"/>
        </w:rPr>
        <w:t xml:space="preserve">       Art.4.  Se aprobă lista de investiții conform Anexei  </w:t>
      </w:r>
      <w:r w:rsidR="0095150F">
        <w:rPr>
          <w:rFonts w:ascii="Times New Roman" w:hAnsi="Times New Roman"/>
          <w:kern w:val="0"/>
          <w:sz w:val="28"/>
          <w:szCs w:val="28"/>
          <w14:ligatures w14:val="none"/>
        </w:rPr>
        <w:t xml:space="preserve">3 </w:t>
      </w:r>
      <w:r w:rsidRPr="00043192">
        <w:rPr>
          <w:rFonts w:ascii="Times New Roman" w:hAnsi="Times New Roman"/>
          <w:kern w:val="0"/>
          <w:sz w:val="28"/>
          <w:szCs w:val="28"/>
          <w14:ligatures w14:val="none"/>
        </w:rPr>
        <w:t>la prezenta hotărâre</w:t>
      </w:r>
      <w:r w:rsidRPr="00043192">
        <w:rPr>
          <w:rFonts w:ascii="Times New Roman" w:hAnsi="Times New Roman" w:cs="Times New Roman"/>
          <w:bCs/>
          <w:kern w:val="0"/>
          <w:sz w:val="28"/>
          <w:szCs w:val="28"/>
          <w14:ligatures w14:val="none"/>
        </w:rPr>
        <w:t>.</w:t>
      </w:r>
    </w:p>
    <w:p w14:paraId="4D7FEA8C" w14:textId="65B310B4" w:rsidR="0095150F" w:rsidRDefault="0095150F" w:rsidP="00A04B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kern w:val="0"/>
          <w:sz w:val="28"/>
          <w:szCs w:val="28"/>
          <w14:ligatures w14:val="none"/>
        </w:rPr>
        <w:t xml:space="preserve">       Art.5.</w:t>
      </w:r>
      <w:r w:rsidRPr="0095150F">
        <w:rPr>
          <w:sz w:val="28"/>
          <w:szCs w:val="28"/>
        </w:rPr>
        <w:t xml:space="preserve"> </w:t>
      </w:r>
      <w:r w:rsidRPr="0095150F">
        <w:rPr>
          <w:rFonts w:ascii="Times New Roman" w:hAnsi="Times New Roman" w:cs="Times New Roman"/>
          <w:sz w:val="28"/>
          <w:szCs w:val="28"/>
        </w:rPr>
        <w:t>(1)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150F">
        <w:rPr>
          <w:rFonts w:ascii="Times New Roman" w:hAnsi="Times New Roman" w:cs="Times New Roman"/>
          <w:sz w:val="28"/>
          <w:szCs w:val="28"/>
        </w:rPr>
        <w:t>Se aprobă utilizarea sumelor din excedent</w:t>
      </w:r>
      <w:r>
        <w:rPr>
          <w:rFonts w:ascii="Times New Roman" w:hAnsi="Times New Roman" w:cs="Times New Roman"/>
          <w:sz w:val="28"/>
          <w:szCs w:val="28"/>
        </w:rPr>
        <w:t>ul anului 2023</w:t>
      </w:r>
      <w:r w:rsidRPr="0095150F">
        <w:rPr>
          <w:rFonts w:ascii="Times New Roman" w:hAnsi="Times New Roman" w:cs="Times New Roman"/>
          <w:sz w:val="28"/>
          <w:szCs w:val="28"/>
        </w:rPr>
        <w:t xml:space="preserve"> pentru finanțarea secțiunilor funcționare și dezvoltare în anul 2024, după cum urmează:</w:t>
      </w:r>
    </w:p>
    <w:tbl>
      <w:tblPr>
        <w:tblW w:w="9346" w:type="dxa"/>
        <w:tblLook w:val="04A0" w:firstRow="1" w:lastRow="0" w:firstColumn="1" w:lastColumn="0" w:noHBand="0" w:noVBand="1"/>
      </w:tblPr>
      <w:tblGrid>
        <w:gridCol w:w="959"/>
        <w:gridCol w:w="6119"/>
        <w:gridCol w:w="2268"/>
      </w:tblGrid>
      <w:tr w:rsidR="0095150F" w:rsidRPr="0095150F" w14:paraId="1DFC65FD" w14:textId="77777777" w:rsidTr="00BD79AE">
        <w:trPr>
          <w:trHeight w:val="615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3D050" w14:textId="77777777" w:rsidR="0095150F" w:rsidRPr="0095150F" w:rsidRDefault="0095150F" w:rsidP="00BD79AE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341B5B97" w14:textId="77777777" w:rsidR="0095150F" w:rsidRPr="0095150F" w:rsidRDefault="0095150F" w:rsidP="00BD79AE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5150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Nr. crt.</w:t>
            </w:r>
          </w:p>
        </w:tc>
        <w:tc>
          <w:tcPr>
            <w:tcW w:w="6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895711F" w14:textId="77777777" w:rsidR="0095150F" w:rsidRPr="0095150F" w:rsidRDefault="0095150F" w:rsidP="00BD79A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38216DC1" w14:textId="77777777" w:rsidR="0095150F" w:rsidRPr="0095150F" w:rsidRDefault="0095150F" w:rsidP="00BD79A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5150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Destinația utilizării excedentului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757C677E" w14:textId="77777777" w:rsidR="0095150F" w:rsidRPr="0095150F" w:rsidRDefault="0095150F" w:rsidP="00BD79A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409B3992" w14:textId="77777777" w:rsidR="0095150F" w:rsidRPr="0095150F" w:rsidRDefault="0095150F" w:rsidP="00BD79A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150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Sume din excedent</w:t>
            </w:r>
          </w:p>
        </w:tc>
      </w:tr>
      <w:tr w:rsidR="0095150F" w:rsidRPr="0095150F" w14:paraId="2CDF0109" w14:textId="77777777" w:rsidTr="00BD79AE">
        <w:trPr>
          <w:trHeight w:val="615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16D7A" w14:textId="77777777" w:rsidR="0095150F" w:rsidRPr="0095150F" w:rsidRDefault="0095150F" w:rsidP="00BD79A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4131E7F7" w14:textId="77777777" w:rsidR="0095150F" w:rsidRPr="0095150F" w:rsidRDefault="0095150F" w:rsidP="00BD79A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5150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329CD84E" w14:textId="77777777" w:rsidR="0095150F" w:rsidRPr="0095150F" w:rsidRDefault="0095150F" w:rsidP="00BD79AE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4622FF8D" w14:textId="77777777" w:rsidR="0095150F" w:rsidRPr="0095150F" w:rsidRDefault="0095150F" w:rsidP="00BD79AE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5150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Pentru acoperirea golurilor de casă la secțiunea funcționare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47B2AE8C" w14:textId="560EBF9D" w:rsidR="0095150F" w:rsidRPr="0095150F" w:rsidRDefault="00FB62BF" w:rsidP="00BD79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160</w:t>
            </w:r>
            <w:r w:rsidR="0095150F" w:rsidRPr="0095150F">
              <w:rPr>
                <w:rFonts w:ascii="Times New Roman" w:hAnsi="Times New Roman"/>
                <w:color w:val="000000"/>
                <w:sz w:val="24"/>
                <w:szCs w:val="24"/>
              </w:rPr>
              <w:t>.000 lei</w:t>
            </w:r>
          </w:p>
        </w:tc>
      </w:tr>
      <w:tr w:rsidR="0095150F" w:rsidRPr="0095150F" w14:paraId="3247C33D" w14:textId="77777777" w:rsidTr="00BD79AE">
        <w:trPr>
          <w:trHeight w:val="615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77763" w14:textId="77777777" w:rsidR="0095150F" w:rsidRPr="0095150F" w:rsidRDefault="0095150F" w:rsidP="00BD79A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24EBBE86" w14:textId="77777777" w:rsidR="0095150F" w:rsidRPr="0095150F" w:rsidRDefault="0095150F" w:rsidP="00BD79A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5150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02F8DEF2" w14:textId="77777777" w:rsidR="0095150F" w:rsidRPr="0095150F" w:rsidRDefault="0095150F" w:rsidP="00BD79AE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208DA03D" w14:textId="77777777" w:rsidR="0095150F" w:rsidRPr="0095150F" w:rsidRDefault="0095150F" w:rsidP="00BD79AE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5150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În scopul utilizării pentru plata sumelor conform PVC 21535/04.12.2023 Proiect POCU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74491216" w14:textId="69019FA4" w:rsidR="0095150F" w:rsidRPr="0095150F" w:rsidRDefault="00FB62BF" w:rsidP="00BD79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418</w:t>
            </w:r>
            <w:r w:rsidR="0095150F" w:rsidRPr="0095150F">
              <w:rPr>
                <w:rFonts w:ascii="Times New Roman" w:hAnsi="Times New Roman"/>
                <w:color w:val="000000"/>
                <w:sz w:val="24"/>
                <w:szCs w:val="24"/>
              </w:rPr>
              <w:t>.000 lei</w:t>
            </w:r>
          </w:p>
        </w:tc>
      </w:tr>
      <w:tr w:rsidR="0095150F" w:rsidRPr="0095150F" w14:paraId="002431DE" w14:textId="77777777" w:rsidTr="00BD79AE">
        <w:trPr>
          <w:trHeight w:val="615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9CEB6" w14:textId="77777777" w:rsidR="0095150F" w:rsidRPr="0095150F" w:rsidRDefault="0095150F" w:rsidP="00BD79A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271BBD89" w14:textId="77777777" w:rsidR="0095150F" w:rsidRPr="0095150F" w:rsidRDefault="0095150F" w:rsidP="00BD79A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5150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6E430B0E" w14:textId="77777777" w:rsidR="0095150F" w:rsidRPr="0095150F" w:rsidRDefault="0095150F" w:rsidP="00BD79AE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1D0C1392" w14:textId="77777777" w:rsidR="0095150F" w:rsidRPr="0095150F" w:rsidRDefault="0095150F" w:rsidP="00BD79AE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5150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În scopul utilizării pentru proiectul Reabilitare infrastructură în urma fenomenelor meteorologice în continuare la secțiunea dezvoltare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735788B3" w14:textId="493568D3" w:rsidR="0095150F" w:rsidRPr="0095150F" w:rsidRDefault="00FB62BF" w:rsidP="00BD79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  <w:r w:rsidR="0095150F" w:rsidRPr="0095150F">
              <w:rPr>
                <w:rFonts w:ascii="Times New Roman" w:hAnsi="Times New Roman"/>
                <w:color w:val="000000"/>
                <w:sz w:val="24"/>
                <w:szCs w:val="24"/>
              </w:rPr>
              <w:t>.000 lei</w:t>
            </w:r>
          </w:p>
        </w:tc>
      </w:tr>
      <w:tr w:rsidR="0095150F" w:rsidRPr="0095150F" w14:paraId="176E2D77" w14:textId="77777777" w:rsidTr="00BD79AE">
        <w:trPr>
          <w:trHeight w:val="630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799C86D" w14:textId="77777777" w:rsidR="0095150F" w:rsidRPr="0095150F" w:rsidRDefault="0095150F" w:rsidP="00BD79A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31AAA89C" w14:textId="77777777" w:rsidR="0095150F" w:rsidRPr="0095150F" w:rsidRDefault="0095150F" w:rsidP="00BD79A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11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7B133490" w14:textId="77777777" w:rsidR="0095150F" w:rsidRPr="0095150F" w:rsidRDefault="0095150F" w:rsidP="00BD79AE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2AD46958" w14:textId="77777777" w:rsidR="0095150F" w:rsidRPr="0095150F" w:rsidRDefault="0095150F" w:rsidP="00BD79A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5150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Total sume din excedent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1DA1BED" w14:textId="4BAA99C9" w:rsidR="0095150F" w:rsidRPr="0095150F" w:rsidRDefault="0095150F" w:rsidP="00BD79AE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150F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FB62BF">
              <w:rPr>
                <w:rFonts w:ascii="Times New Roman" w:hAnsi="Times New Roman"/>
                <w:color w:val="000000"/>
                <w:sz w:val="24"/>
                <w:szCs w:val="24"/>
              </w:rPr>
              <w:t>99</w:t>
            </w:r>
            <w:r w:rsidRPr="0095150F">
              <w:rPr>
                <w:rFonts w:ascii="Times New Roman" w:hAnsi="Times New Roman"/>
                <w:color w:val="000000"/>
                <w:sz w:val="24"/>
                <w:szCs w:val="24"/>
              </w:rPr>
              <w:t>.000 lei</w:t>
            </w:r>
          </w:p>
        </w:tc>
      </w:tr>
    </w:tbl>
    <w:p w14:paraId="7B55F41B" w14:textId="6C7F2B75" w:rsidR="0095150F" w:rsidRPr="0095150F" w:rsidRDefault="0095150F" w:rsidP="0095150F">
      <w:pPr>
        <w:pStyle w:val="Standard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 xml:space="preserve">        (2)   Hotărârea Consiliului Local Valea Ierii nr.1/09.01.2024</w:t>
      </w:r>
      <w:bookmarkStart w:id="2" w:name="_Hlk124146088"/>
      <w:r w:rsidRPr="0095150F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privind aprobarea utili</w:t>
      </w:r>
      <w:r>
        <w:rPr>
          <w:sz w:val="28"/>
          <w:szCs w:val="28"/>
          <w:lang w:val="ro-RO"/>
        </w:rPr>
        <w:t>zării unor sume din excedentul anului precedent în</w:t>
      </w:r>
      <w:r>
        <w:rPr>
          <w:sz w:val="28"/>
          <w:szCs w:val="28"/>
        </w:rPr>
        <w:t xml:space="preserve"> anul 2024, se abrogă.</w:t>
      </w:r>
      <w:bookmarkEnd w:id="2"/>
    </w:p>
    <w:p w14:paraId="00DBAE3B" w14:textId="5B3962EC" w:rsidR="00043192" w:rsidRPr="00043192" w:rsidRDefault="00043192" w:rsidP="00A04B62">
      <w:pPr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8"/>
          <w:szCs w:val="28"/>
          <w:lang w:eastAsia="ro-RO"/>
          <w14:ligatures w14:val="none"/>
        </w:rPr>
      </w:pPr>
      <w:r w:rsidRPr="00043192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  Art.</w:t>
      </w:r>
      <w:r w:rsidR="0095150F">
        <w:rPr>
          <w:rFonts w:ascii="Times New Roman" w:hAnsi="Times New Roman" w:cs="Times New Roman"/>
          <w:kern w:val="0"/>
          <w:sz w:val="28"/>
          <w:szCs w:val="28"/>
          <w14:ligatures w14:val="none"/>
        </w:rPr>
        <w:t>6</w:t>
      </w:r>
      <w:r w:rsidRPr="00043192">
        <w:rPr>
          <w:rFonts w:ascii="Times New Roman" w:hAnsi="Times New Roman" w:cs="Times New Roman"/>
          <w:kern w:val="0"/>
          <w:sz w:val="28"/>
          <w:szCs w:val="28"/>
          <w14:ligatures w14:val="none"/>
        </w:rPr>
        <w:t>.  Cu ducerea la îndeplinire a prezentei hotărâri se încredinţează primarul comunei Valea Ierii şi doamna Ilea Nicoleta- consilier.</w:t>
      </w:r>
    </w:p>
    <w:p w14:paraId="06B7AB09" w14:textId="77777777" w:rsidR="00043192" w:rsidRPr="00043192" w:rsidRDefault="00043192" w:rsidP="00043192">
      <w:pPr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4F292215" w14:textId="77777777" w:rsidR="00043192" w:rsidRPr="00043192" w:rsidRDefault="00043192" w:rsidP="00043192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780D4C3D" w14:textId="35814F4F" w:rsidR="00043192" w:rsidRPr="00043192" w:rsidRDefault="00043192" w:rsidP="00043192">
      <w:pPr>
        <w:widowControl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043192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     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Președinte de ședință</w:t>
      </w:r>
      <w:r w:rsidRPr="00043192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,  </w:t>
      </w:r>
      <w:r w:rsidRPr="00043192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 w:rsidRPr="00043192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 w:rsidRPr="00043192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 xml:space="preserve">                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Contrasemnează</w:t>
      </w:r>
      <w:r w:rsidRPr="00043192">
        <w:rPr>
          <w:rFonts w:ascii="Times New Roman" w:hAnsi="Times New Roman" w:cs="Times New Roman"/>
          <w:kern w:val="0"/>
          <w:sz w:val="28"/>
          <w:szCs w:val="28"/>
          <w14:ligatures w14:val="none"/>
        </w:rPr>
        <w:t>:</w:t>
      </w:r>
    </w:p>
    <w:p w14:paraId="3132C921" w14:textId="1F934677" w:rsidR="00043192" w:rsidRPr="00043192" w:rsidRDefault="00043192" w:rsidP="00043192">
      <w:pPr>
        <w:widowControl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043192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       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Vasile-Mihai </w:t>
      </w:r>
      <w:r w:rsidRPr="00043192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Șipoș</w:t>
      </w:r>
      <w:r w:rsidRPr="00043192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                             Secretar general al comunei,</w:t>
      </w:r>
    </w:p>
    <w:p w14:paraId="29EE987C" w14:textId="0A22FC78" w:rsidR="00043192" w:rsidRDefault="00043192" w:rsidP="00043192">
      <w:pPr>
        <w:widowControl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043192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 w:rsidRPr="00043192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 w:rsidRPr="00043192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 w:rsidRPr="00043192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 w:rsidRPr="00043192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 w:rsidRPr="00043192"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 xml:space="preserve">                         Nelia-Crenguța Mariș</w:t>
      </w:r>
    </w:p>
    <w:p w14:paraId="16CC4E8F" w14:textId="77777777" w:rsidR="00043192" w:rsidRPr="00043192" w:rsidRDefault="00043192" w:rsidP="00043192">
      <w:pPr>
        <w:widowControl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0096183D" w14:textId="7DCAC46F" w:rsidR="00043192" w:rsidRPr="00043192" w:rsidRDefault="00043192" w:rsidP="0004319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43192">
        <w:rPr>
          <w:rFonts w:ascii="Times New Roman" w:hAnsi="Times New Roman" w:cs="Times New Roman"/>
          <w:b/>
          <w:sz w:val="24"/>
          <w:szCs w:val="24"/>
        </w:rPr>
        <w:t>Nr.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043192">
        <w:rPr>
          <w:rFonts w:ascii="Times New Roman" w:hAnsi="Times New Roman" w:cs="Times New Roman"/>
          <w:b/>
          <w:sz w:val="24"/>
          <w:szCs w:val="24"/>
        </w:rPr>
        <w:t xml:space="preserve"> din </w:t>
      </w:r>
      <w:r>
        <w:rPr>
          <w:rFonts w:ascii="Times New Roman" w:hAnsi="Times New Roman" w:cs="Times New Roman"/>
          <w:b/>
          <w:sz w:val="24"/>
          <w:szCs w:val="24"/>
        </w:rPr>
        <w:t>31</w:t>
      </w:r>
      <w:r w:rsidRPr="00043192">
        <w:rPr>
          <w:rFonts w:ascii="Times New Roman" w:hAnsi="Times New Roman" w:cs="Times New Roman"/>
          <w:b/>
          <w:sz w:val="24"/>
          <w:szCs w:val="24"/>
        </w:rPr>
        <w:t>.01.2024</w:t>
      </w:r>
    </w:p>
    <w:p w14:paraId="5130D08F" w14:textId="29FE6424" w:rsidR="0013011E" w:rsidRPr="005E71B5" w:rsidRDefault="00043192" w:rsidP="00043192">
      <w:pPr>
        <w:jc w:val="both"/>
      </w:pPr>
      <w:r w:rsidRPr="005E71B5">
        <w:rPr>
          <w:rFonts w:ascii="Times New Roman" w:hAnsi="Times New Roman" w:cs="Times New Roman"/>
          <w:i/>
          <w:kern w:val="3"/>
          <w:lang w:eastAsia="ro-RO"/>
        </w:rPr>
        <w:t>Prezenta hotărâre a fost adoptată cu respectarea prevederilor legale privind majoritatea de voturi, astfel:</w:t>
      </w:r>
      <w:r w:rsidR="00225AB3">
        <w:rPr>
          <w:rFonts w:ascii="Times New Roman" w:hAnsi="Times New Roman" w:cs="Times New Roman"/>
          <w:i/>
          <w:kern w:val="3"/>
          <w:lang w:eastAsia="ro-RO"/>
        </w:rPr>
        <w:t>5</w:t>
      </w:r>
      <w:r w:rsidRPr="005E71B5">
        <w:rPr>
          <w:rFonts w:ascii="Times New Roman" w:hAnsi="Times New Roman" w:cs="Times New Roman"/>
          <w:i/>
          <w:kern w:val="3"/>
          <w:lang w:eastAsia="ro-RO"/>
        </w:rPr>
        <w:t xml:space="preserve"> voturi “pentru” și </w:t>
      </w:r>
      <w:r w:rsidR="00225AB3">
        <w:rPr>
          <w:rFonts w:ascii="Times New Roman" w:hAnsi="Times New Roman" w:cs="Times New Roman"/>
          <w:i/>
          <w:kern w:val="3"/>
          <w:lang w:eastAsia="ro-RO"/>
        </w:rPr>
        <w:t>4</w:t>
      </w:r>
      <w:r w:rsidRPr="005E71B5">
        <w:rPr>
          <w:rFonts w:ascii="Times New Roman" w:hAnsi="Times New Roman" w:cs="Times New Roman"/>
          <w:i/>
          <w:kern w:val="3"/>
          <w:lang w:eastAsia="ro-RO"/>
        </w:rPr>
        <w:t xml:space="preserve"> voturi ,împotrivă”.Consilieri locali prezenţi: 9  din totalul de 9 consilieri locali în f</w:t>
      </w:r>
      <w:r w:rsidRPr="005E71B5">
        <w:rPr>
          <w:rFonts w:ascii="Times New Roman" w:hAnsi="Times New Roman" w:cs="Times New Roman"/>
          <w:i/>
          <w:lang w:eastAsia="ro-RO"/>
        </w:rPr>
        <w:t>u</w:t>
      </w:r>
      <w:r w:rsidRPr="005E71B5">
        <w:rPr>
          <w:rFonts w:ascii="Times New Roman" w:hAnsi="Times New Roman" w:cs="Times New Roman"/>
          <w:i/>
          <w:kern w:val="3"/>
          <w:lang w:eastAsia="ro-RO"/>
        </w:rPr>
        <w:t>ncţie.</w:t>
      </w:r>
      <w:r w:rsidRPr="005E71B5">
        <w:rPr>
          <w:rFonts w:ascii="Times New Roman" w:hAnsi="Times New Roman" w:cs="Times New Roman"/>
          <w:b/>
          <w:bCs/>
          <w:lang w:val="pt-PT" w:eastAsia="ro-RO"/>
        </w:rPr>
        <w:t xml:space="preserve">   </w:t>
      </w:r>
      <w:r w:rsidRPr="005E71B5">
        <w:rPr>
          <w:rFonts w:ascii="Times New Roman" w:hAnsi="Times New Roman" w:cs="Times New Roman"/>
          <w:b/>
        </w:rPr>
        <w:t xml:space="preserve"> </w:t>
      </w:r>
    </w:p>
    <w:sectPr w:rsidR="0013011E" w:rsidRPr="005E71B5" w:rsidSect="00167E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834"/>
    <w:rsid w:val="00043192"/>
    <w:rsid w:val="00105D0A"/>
    <w:rsid w:val="0013011E"/>
    <w:rsid w:val="00167EF2"/>
    <w:rsid w:val="00225AB3"/>
    <w:rsid w:val="005277E1"/>
    <w:rsid w:val="005346F4"/>
    <w:rsid w:val="005E71B5"/>
    <w:rsid w:val="0095150F"/>
    <w:rsid w:val="00A04B62"/>
    <w:rsid w:val="00A51733"/>
    <w:rsid w:val="00BD0834"/>
    <w:rsid w:val="00BD62F5"/>
    <w:rsid w:val="00C50B98"/>
    <w:rsid w:val="00CC7999"/>
    <w:rsid w:val="00E2275C"/>
    <w:rsid w:val="00F87ACF"/>
    <w:rsid w:val="00FB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104C9"/>
  <w15:chartTrackingRefBased/>
  <w15:docId w15:val="{A4E03D33-BAEE-4AFC-A130-910913C67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Standard">
    <w:name w:val="Standard"/>
    <w:rsid w:val="0095150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542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User09</dc:creator>
  <cp:keywords/>
  <dc:description/>
  <cp:lastModifiedBy>User09</cp:lastModifiedBy>
  <cp:revision>7</cp:revision>
  <cp:lastPrinted>2024-01-29T07:22:00Z</cp:lastPrinted>
  <dcterms:created xsi:type="dcterms:W3CDTF">2024-01-28T08:13:00Z</dcterms:created>
  <dcterms:modified xsi:type="dcterms:W3CDTF">2024-02-01T06:55:00Z</dcterms:modified>
</cp:coreProperties>
</file>